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7E" w:rsidRDefault="00A4797E" w:rsidP="007C247A">
      <w:pPr>
        <w:rPr>
          <w:rFonts w:ascii="AdvPSA05F" w:hAnsi="AdvPSA05F" w:cs="AdvPSA05F"/>
          <w:b/>
          <w:sz w:val="32"/>
          <w:szCs w:val="32"/>
        </w:rPr>
      </w:pPr>
    </w:p>
    <w:p w:rsidR="00A4797E" w:rsidRDefault="00A4797E" w:rsidP="007C247A">
      <w:pPr>
        <w:rPr>
          <w:rFonts w:ascii="AdvPSA05F" w:hAnsi="AdvPSA05F" w:cs="AdvPSA05F"/>
          <w:b/>
          <w:sz w:val="32"/>
          <w:szCs w:val="32"/>
        </w:rPr>
      </w:pPr>
    </w:p>
    <w:p w:rsidR="00A4797E" w:rsidRDefault="00A4797E" w:rsidP="007C247A">
      <w:pPr>
        <w:rPr>
          <w:rFonts w:ascii="AdvPSA05F" w:hAnsi="AdvPSA05F" w:cs="AdvPSA05F"/>
          <w:b/>
          <w:sz w:val="32"/>
          <w:szCs w:val="32"/>
        </w:rPr>
      </w:pPr>
      <w:r>
        <w:rPr>
          <w:rFonts w:ascii="AdvPSA05F" w:hAnsi="AdvPSA05F" w:cs="AdvPSA05F"/>
          <w:b/>
          <w:noProof/>
          <w:sz w:val="32"/>
          <w:szCs w:val="32"/>
          <w:lang w:eastAsia="it-IT"/>
        </w:rPr>
        <w:drawing>
          <wp:inline distT="0" distB="0" distL="0" distR="0">
            <wp:extent cx="6115685" cy="312293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97E" w:rsidRDefault="00A4797E" w:rsidP="007C247A">
      <w:pPr>
        <w:rPr>
          <w:rFonts w:ascii="AdvPSA05F" w:hAnsi="AdvPSA05F" w:cs="AdvPSA05F"/>
          <w:b/>
          <w:sz w:val="32"/>
          <w:szCs w:val="32"/>
        </w:rPr>
      </w:pPr>
    </w:p>
    <w:p w:rsidR="003416D2" w:rsidRDefault="003416D2" w:rsidP="00403B5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16D2">
        <w:rPr>
          <w:rFonts w:ascii="AdvPSA05F" w:hAnsi="AdvPSA05F" w:cs="AdvPSA05F"/>
          <w:b/>
          <w:sz w:val="32"/>
          <w:szCs w:val="32"/>
        </w:rPr>
        <w:t>I</w:t>
      </w:r>
      <w:r w:rsidRPr="003416D2">
        <w:rPr>
          <w:rFonts w:ascii="Times New Roman" w:hAnsi="Times New Roman" w:cs="Times New Roman"/>
          <w:b/>
          <w:sz w:val="32"/>
          <w:szCs w:val="32"/>
        </w:rPr>
        <w:t>NTRODUZIONE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="00403B54">
        <w:rPr>
          <w:rFonts w:ascii="Times New Roman" w:hAnsi="Times New Roman" w:cs="Times New Roman"/>
          <w:sz w:val="32"/>
          <w:szCs w:val="32"/>
        </w:rPr>
        <w:t xml:space="preserve"> l</w:t>
      </w:r>
      <w:r>
        <w:rPr>
          <w:rFonts w:ascii="Times New Roman" w:hAnsi="Times New Roman" w:cs="Times New Roman"/>
          <w:sz w:val="32"/>
          <w:szCs w:val="32"/>
        </w:rPr>
        <w:t>’obiettivo dello studio è stato valutare il management delle deiscenze anastomotiche coliche in un periodo compreso fra il 2012 e il 2013</w:t>
      </w:r>
    </w:p>
    <w:p w:rsidR="003416D2" w:rsidRDefault="007F69FE" w:rsidP="00403B5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69FE">
        <w:rPr>
          <w:rFonts w:ascii="Times New Roman" w:hAnsi="Times New Roman" w:cs="Times New Roman"/>
          <w:b/>
          <w:sz w:val="32"/>
          <w:szCs w:val="32"/>
        </w:rPr>
        <w:t>METODI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403B54" w:rsidRPr="00403B54">
        <w:rPr>
          <w:rFonts w:ascii="Times New Roman" w:hAnsi="Times New Roman" w:cs="Times New Roman"/>
          <w:sz w:val="32"/>
          <w:szCs w:val="32"/>
        </w:rPr>
        <w:t xml:space="preserve">sono </w:t>
      </w:r>
      <w:r w:rsidR="00403B54">
        <w:rPr>
          <w:rFonts w:ascii="Times New Roman" w:hAnsi="Times New Roman" w:cs="Times New Roman"/>
          <w:sz w:val="32"/>
          <w:szCs w:val="32"/>
        </w:rPr>
        <w:t>stati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03B54">
        <w:rPr>
          <w:rFonts w:ascii="Times New Roman" w:hAnsi="Times New Roman" w:cs="Times New Roman"/>
          <w:sz w:val="32"/>
          <w:szCs w:val="32"/>
        </w:rPr>
        <w:t xml:space="preserve">arruolati mediante analisi del database ACS NSQIP   (American College of </w:t>
      </w:r>
      <w:proofErr w:type="spellStart"/>
      <w:r w:rsidR="00403B54">
        <w:rPr>
          <w:rFonts w:ascii="Times New Roman" w:hAnsi="Times New Roman" w:cs="Times New Roman"/>
          <w:sz w:val="32"/>
          <w:szCs w:val="32"/>
        </w:rPr>
        <w:t>Surgeons</w:t>
      </w:r>
      <w:proofErr w:type="spellEnd"/>
      <w:r w:rsidR="00403B54">
        <w:rPr>
          <w:rFonts w:ascii="Times New Roman" w:hAnsi="Times New Roman" w:cs="Times New Roman"/>
          <w:sz w:val="32"/>
          <w:szCs w:val="32"/>
        </w:rPr>
        <w:t xml:space="preserve"> National </w:t>
      </w:r>
      <w:proofErr w:type="spellStart"/>
      <w:r w:rsidR="00403B54">
        <w:rPr>
          <w:rFonts w:ascii="Times New Roman" w:hAnsi="Times New Roman" w:cs="Times New Roman"/>
          <w:sz w:val="32"/>
          <w:szCs w:val="32"/>
        </w:rPr>
        <w:t>Surgical</w:t>
      </w:r>
      <w:proofErr w:type="spellEnd"/>
      <w:r w:rsidR="00403B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03B54">
        <w:rPr>
          <w:rFonts w:ascii="Times New Roman" w:hAnsi="Times New Roman" w:cs="Times New Roman"/>
          <w:sz w:val="32"/>
          <w:szCs w:val="32"/>
        </w:rPr>
        <w:t>Quality</w:t>
      </w:r>
      <w:proofErr w:type="spellEnd"/>
      <w:r w:rsidR="00403B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03B54">
        <w:rPr>
          <w:rFonts w:ascii="Times New Roman" w:hAnsi="Times New Roman" w:cs="Times New Roman"/>
          <w:sz w:val="32"/>
          <w:szCs w:val="32"/>
        </w:rPr>
        <w:t>Improvement</w:t>
      </w:r>
      <w:proofErr w:type="spellEnd"/>
      <w:r w:rsidR="00403B54">
        <w:rPr>
          <w:rFonts w:ascii="Times New Roman" w:hAnsi="Times New Roman" w:cs="Times New Roman"/>
          <w:sz w:val="32"/>
          <w:szCs w:val="32"/>
        </w:rPr>
        <w:t xml:space="preserve"> Program)</w:t>
      </w:r>
      <w:r>
        <w:rPr>
          <w:rFonts w:ascii="Times New Roman" w:hAnsi="Times New Roman" w:cs="Times New Roman"/>
          <w:sz w:val="32"/>
          <w:szCs w:val="32"/>
        </w:rPr>
        <w:t xml:space="preserve"> 32280</w:t>
      </w:r>
      <w:r w:rsidR="00072B06">
        <w:rPr>
          <w:rFonts w:ascii="Times New Roman" w:hAnsi="Times New Roman" w:cs="Times New Roman"/>
          <w:sz w:val="32"/>
          <w:szCs w:val="32"/>
        </w:rPr>
        <w:t xml:space="preserve"> pazienti </w:t>
      </w:r>
      <w:r>
        <w:rPr>
          <w:rFonts w:ascii="Times New Roman" w:hAnsi="Times New Roman" w:cs="Times New Roman"/>
          <w:sz w:val="32"/>
          <w:szCs w:val="32"/>
        </w:rPr>
        <w:t>sottoposti ad interventi di chirurgia colica</w:t>
      </w:r>
      <w:r w:rsidR="00072B06">
        <w:rPr>
          <w:rFonts w:ascii="Times New Roman" w:hAnsi="Times New Roman" w:cs="Times New Roman"/>
          <w:sz w:val="32"/>
          <w:szCs w:val="32"/>
        </w:rPr>
        <w:t xml:space="preserve"> n</w:t>
      </w:r>
      <w:r w:rsidR="00BD4CF9">
        <w:rPr>
          <w:rFonts w:ascii="Times New Roman" w:hAnsi="Times New Roman" w:cs="Times New Roman"/>
          <w:sz w:val="32"/>
          <w:szCs w:val="32"/>
        </w:rPr>
        <w:t>egli USA nel periodo 2012-2013</w:t>
      </w:r>
    </w:p>
    <w:p w:rsidR="007F69FE" w:rsidRDefault="007F69FE" w:rsidP="00403B5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69FE">
        <w:rPr>
          <w:rFonts w:ascii="Times New Roman" w:hAnsi="Times New Roman" w:cs="Times New Roman"/>
          <w:b/>
          <w:sz w:val="32"/>
          <w:szCs w:val="32"/>
        </w:rPr>
        <w:t>RISULTATI</w:t>
      </w:r>
      <w:r w:rsidR="00403B54">
        <w:rPr>
          <w:rFonts w:ascii="Times New Roman" w:hAnsi="Times New Roman" w:cs="Times New Roman"/>
          <w:sz w:val="32"/>
          <w:szCs w:val="32"/>
        </w:rPr>
        <w:t>: l</w:t>
      </w:r>
      <w:r>
        <w:rPr>
          <w:rFonts w:ascii="Times New Roman" w:hAnsi="Times New Roman" w:cs="Times New Roman"/>
          <w:sz w:val="32"/>
          <w:szCs w:val="32"/>
        </w:rPr>
        <w:t>o studio ha dimostrato come ben il 43,9% d</w:t>
      </w:r>
      <w:r w:rsidR="007E6159">
        <w:rPr>
          <w:rFonts w:ascii="Times New Roman" w:hAnsi="Times New Roman" w:cs="Times New Roman"/>
          <w:sz w:val="32"/>
          <w:szCs w:val="32"/>
        </w:rPr>
        <w:t xml:space="preserve">ei pazienti con </w:t>
      </w:r>
      <w:r>
        <w:rPr>
          <w:rFonts w:ascii="Times New Roman" w:hAnsi="Times New Roman" w:cs="Times New Roman"/>
          <w:sz w:val="32"/>
          <w:szCs w:val="32"/>
        </w:rPr>
        <w:t>deiscenza anastomotica (1240</w:t>
      </w:r>
      <w:r w:rsidR="00C46853">
        <w:rPr>
          <w:rFonts w:ascii="Times New Roman" w:hAnsi="Times New Roman" w:cs="Times New Roman"/>
          <w:sz w:val="32"/>
          <w:szCs w:val="32"/>
        </w:rPr>
        <w:t xml:space="preserve"> pazienti, 3,8% del totale) siano</w:t>
      </w:r>
      <w:r>
        <w:rPr>
          <w:rFonts w:ascii="Times New Roman" w:hAnsi="Times New Roman" w:cs="Times New Roman"/>
          <w:sz w:val="32"/>
          <w:szCs w:val="32"/>
        </w:rPr>
        <w:t xml:space="preserve"> stati trattati in maniera conservativa (</w:t>
      </w:r>
      <w:r w:rsidR="00403B54">
        <w:rPr>
          <w:rFonts w:ascii="Times New Roman" w:hAnsi="Times New Roman" w:cs="Times New Roman"/>
          <w:sz w:val="32"/>
          <w:szCs w:val="32"/>
        </w:rPr>
        <w:t>non chirurgica</w:t>
      </w:r>
      <w:r>
        <w:rPr>
          <w:rFonts w:ascii="Times New Roman" w:hAnsi="Times New Roman" w:cs="Times New Roman"/>
          <w:sz w:val="32"/>
          <w:szCs w:val="32"/>
        </w:rPr>
        <w:t>)</w:t>
      </w:r>
      <w:r w:rsidR="007E6159">
        <w:rPr>
          <w:rFonts w:ascii="Times New Roman" w:hAnsi="Times New Roman" w:cs="Times New Roman"/>
          <w:sz w:val="32"/>
          <w:szCs w:val="32"/>
        </w:rPr>
        <w:t xml:space="preserve"> indipendentemente dal tipo di anastomosi (ileocolica,</w:t>
      </w:r>
      <w:r w:rsidR="00403B54">
        <w:rPr>
          <w:rFonts w:ascii="Times New Roman" w:hAnsi="Times New Roman" w:cs="Times New Roman"/>
          <w:sz w:val="32"/>
          <w:szCs w:val="32"/>
        </w:rPr>
        <w:t xml:space="preserve"> </w:t>
      </w:r>
      <w:r w:rsidR="007E6159">
        <w:rPr>
          <w:rFonts w:ascii="Times New Roman" w:hAnsi="Times New Roman" w:cs="Times New Roman"/>
          <w:sz w:val="32"/>
          <w:szCs w:val="32"/>
        </w:rPr>
        <w:t>colo-colica</w:t>
      </w:r>
      <w:r w:rsidR="00403B54">
        <w:rPr>
          <w:rFonts w:ascii="Times New Roman" w:hAnsi="Times New Roman" w:cs="Times New Roman"/>
          <w:sz w:val="32"/>
          <w:szCs w:val="32"/>
        </w:rPr>
        <w:t xml:space="preserve">, </w:t>
      </w:r>
      <w:r w:rsidR="007E6159">
        <w:rPr>
          <w:rFonts w:ascii="Times New Roman" w:hAnsi="Times New Roman" w:cs="Times New Roman"/>
          <w:sz w:val="32"/>
          <w:szCs w:val="32"/>
        </w:rPr>
        <w:t>colo-rettale</w:t>
      </w:r>
      <w:r w:rsidR="00CA00AB">
        <w:rPr>
          <w:rFonts w:ascii="Times New Roman" w:hAnsi="Times New Roman" w:cs="Times New Roman"/>
          <w:sz w:val="32"/>
          <w:szCs w:val="32"/>
        </w:rPr>
        <w:t xml:space="preserve"> “alta”</w:t>
      </w:r>
      <w:r w:rsidR="007E6159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. Lo studio ha anche </w:t>
      </w:r>
      <w:r w:rsidR="00403B54">
        <w:rPr>
          <w:rFonts w:ascii="Times New Roman" w:hAnsi="Times New Roman" w:cs="Times New Roman"/>
          <w:sz w:val="32"/>
          <w:szCs w:val="32"/>
        </w:rPr>
        <w:t>confermato</w:t>
      </w:r>
      <w:r>
        <w:rPr>
          <w:rFonts w:ascii="Times New Roman" w:hAnsi="Times New Roman" w:cs="Times New Roman"/>
          <w:sz w:val="32"/>
          <w:szCs w:val="32"/>
        </w:rPr>
        <w:t xml:space="preserve"> come </w:t>
      </w:r>
      <w:r w:rsidR="006253C6">
        <w:rPr>
          <w:rFonts w:ascii="Times New Roman" w:hAnsi="Times New Roman" w:cs="Times New Roman"/>
          <w:sz w:val="32"/>
          <w:szCs w:val="32"/>
        </w:rPr>
        <w:t xml:space="preserve">il rischio di deiscenza delle anastomosi colo-rettali sia </w:t>
      </w:r>
      <w:r w:rsidR="006253C6">
        <w:rPr>
          <w:rFonts w:ascii="Times New Roman" w:hAnsi="Times New Roman" w:cs="Times New Roman"/>
          <w:sz w:val="32"/>
          <w:szCs w:val="32"/>
        </w:rPr>
        <w:lastRenderedPageBreak/>
        <w:t xml:space="preserve">significativamente più </w:t>
      </w:r>
      <w:r w:rsidR="007E6159">
        <w:rPr>
          <w:rFonts w:ascii="Times New Roman" w:hAnsi="Times New Roman" w:cs="Times New Roman"/>
          <w:sz w:val="32"/>
          <w:szCs w:val="32"/>
        </w:rPr>
        <w:t xml:space="preserve">elevato rispetto a quelle </w:t>
      </w:r>
      <w:r w:rsidR="006253C6">
        <w:rPr>
          <w:rFonts w:ascii="Times New Roman" w:hAnsi="Times New Roman" w:cs="Times New Roman"/>
          <w:sz w:val="32"/>
          <w:szCs w:val="32"/>
        </w:rPr>
        <w:t>colo-coliche ed ileo-coliche. È stato inoltre dimostrato</w:t>
      </w:r>
      <w:r w:rsidR="007E6159">
        <w:rPr>
          <w:rFonts w:ascii="Times New Roman" w:hAnsi="Times New Roman" w:cs="Times New Roman"/>
          <w:sz w:val="32"/>
          <w:szCs w:val="32"/>
        </w:rPr>
        <w:t>,</w:t>
      </w:r>
      <w:r w:rsidR="006253C6">
        <w:rPr>
          <w:rFonts w:ascii="Times New Roman" w:hAnsi="Times New Roman" w:cs="Times New Roman"/>
          <w:sz w:val="32"/>
          <w:szCs w:val="32"/>
        </w:rPr>
        <w:t xml:space="preserve"> in accordo c</w:t>
      </w:r>
      <w:r w:rsidR="007E6159">
        <w:rPr>
          <w:rFonts w:ascii="Times New Roman" w:hAnsi="Times New Roman" w:cs="Times New Roman"/>
          <w:sz w:val="32"/>
          <w:szCs w:val="32"/>
        </w:rPr>
        <w:t>on la letteratura, che i pazienti</w:t>
      </w:r>
      <w:r w:rsidR="006253C6">
        <w:rPr>
          <w:rFonts w:ascii="Times New Roman" w:hAnsi="Times New Roman" w:cs="Times New Roman"/>
          <w:sz w:val="32"/>
          <w:szCs w:val="32"/>
        </w:rPr>
        <w:t xml:space="preserve"> portatori di u</w:t>
      </w:r>
      <w:r w:rsidR="00CA00AB">
        <w:rPr>
          <w:rFonts w:ascii="Times New Roman" w:hAnsi="Times New Roman" w:cs="Times New Roman"/>
          <w:sz w:val="32"/>
          <w:szCs w:val="32"/>
        </w:rPr>
        <w:t xml:space="preserve">na </w:t>
      </w:r>
      <w:proofErr w:type="spellStart"/>
      <w:r w:rsidR="00CA00AB">
        <w:rPr>
          <w:rFonts w:ascii="Times New Roman" w:hAnsi="Times New Roman" w:cs="Times New Roman"/>
          <w:sz w:val="32"/>
          <w:szCs w:val="32"/>
        </w:rPr>
        <w:t>stomia</w:t>
      </w:r>
      <w:proofErr w:type="spellEnd"/>
      <w:r w:rsidR="00CA00AB">
        <w:rPr>
          <w:rFonts w:ascii="Times New Roman" w:hAnsi="Times New Roman" w:cs="Times New Roman"/>
          <w:sz w:val="32"/>
          <w:szCs w:val="32"/>
        </w:rPr>
        <w:t xml:space="preserve"> derivativa avevano, in caso di </w:t>
      </w:r>
      <w:r w:rsidR="006253C6">
        <w:rPr>
          <w:rFonts w:ascii="Times New Roman" w:hAnsi="Times New Roman" w:cs="Times New Roman"/>
          <w:sz w:val="32"/>
          <w:szCs w:val="32"/>
        </w:rPr>
        <w:t>deiscenza anastomotica</w:t>
      </w:r>
      <w:r w:rsidR="00CA00AB">
        <w:rPr>
          <w:rFonts w:ascii="Times New Roman" w:hAnsi="Times New Roman" w:cs="Times New Roman"/>
          <w:sz w:val="32"/>
          <w:szCs w:val="32"/>
        </w:rPr>
        <w:t>, una minore</w:t>
      </w:r>
      <w:r w:rsidR="006253C6">
        <w:rPr>
          <w:rFonts w:ascii="Times New Roman" w:hAnsi="Times New Roman" w:cs="Times New Roman"/>
          <w:sz w:val="32"/>
          <w:szCs w:val="32"/>
        </w:rPr>
        <w:t xml:space="preserve"> necessità di re</w:t>
      </w:r>
      <w:r w:rsidR="00BD4CF9">
        <w:rPr>
          <w:rFonts w:ascii="Times New Roman" w:hAnsi="Times New Roman" w:cs="Times New Roman"/>
          <w:sz w:val="32"/>
          <w:szCs w:val="32"/>
        </w:rPr>
        <w:t>-</w:t>
      </w:r>
      <w:r w:rsidR="006253C6">
        <w:rPr>
          <w:rFonts w:ascii="Times New Roman" w:hAnsi="Times New Roman" w:cs="Times New Roman"/>
          <w:sz w:val="32"/>
          <w:szCs w:val="32"/>
        </w:rPr>
        <w:t>intervento chirurgico</w:t>
      </w:r>
      <w:r w:rsidR="00CA00AB">
        <w:rPr>
          <w:rFonts w:ascii="Times New Roman" w:hAnsi="Times New Roman" w:cs="Times New Roman"/>
          <w:sz w:val="32"/>
          <w:szCs w:val="32"/>
        </w:rPr>
        <w:t xml:space="preserve"> in quanto paucisintomatici o con minore possibilità di peritonite diffusa</w:t>
      </w:r>
      <w:r w:rsidR="00C46853">
        <w:rPr>
          <w:rFonts w:ascii="Times New Roman" w:hAnsi="Times New Roman" w:cs="Times New Roman"/>
          <w:sz w:val="32"/>
          <w:szCs w:val="32"/>
        </w:rPr>
        <w:t>.</w:t>
      </w:r>
    </w:p>
    <w:p w:rsidR="00072B06" w:rsidRDefault="00072B06" w:rsidP="00403B5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72B06">
        <w:rPr>
          <w:rFonts w:ascii="Times New Roman" w:hAnsi="Times New Roman" w:cs="Times New Roman"/>
          <w:b/>
          <w:sz w:val="32"/>
          <w:szCs w:val="32"/>
        </w:rPr>
        <w:t>CONCLUSIONI</w:t>
      </w:r>
      <w:r w:rsidR="00576C19">
        <w:rPr>
          <w:rFonts w:ascii="Times New Roman" w:hAnsi="Times New Roman" w:cs="Times New Roman"/>
          <w:sz w:val="32"/>
          <w:szCs w:val="32"/>
        </w:rPr>
        <w:t>: L</w:t>
      </w:r>
      <w:r>
        <w:rPr>
          <w:rFonts w:ascii="Times New Roman" w:hAnsi="Times New Roman" w:cs="Times New Roman"/>
          <w:sz w:val="32"/>
          <w:szCs w:val="32"/>
        </w:rPr>
        <w:t>e deiscenze anastomotiche sono associate ad un aumento della mortalità post-operatoria e ad allungamento dei tempi medi  di degenza dei pazienti. La tipologia di anastomosi</w:t>
      </w:r>
      <w:r w:rsidR="00403B54">
        <w:rPr>
          <w:rFonts w:ascii="Times New Roman" w:hAnsi="Times New Roman" w:cs="Times New Roman"/>
          <w:sz w:val="32"/>
          <w:szCs w:val="32"/>
        </w:rPr>
        <w:t xml:space="preserve"> eseguita, peraltro obbligata e quindi dato non modificabile,</w:t>
      </w:r>
      <w:r>
        <w:rPr>
          <w:rFonts w:ascii="Times New Roman" w:hAnsi="Times New Roman" w:cs="Times New Roman"/>
          <w:sz w:val="32"/>
          <w:szCs w:val="32"/>
        </w:rPr>
        <w:t xml:space="preserve"> influenza il rischio di deiscenza. I dati raccolti mostrano come </w:t>
      </w:r>
      <w:r w:rsidR="00CA00AB">
        <w:rPr>
          <w:rFonts w:ascii="Times New Roman" w:hAnsi="Times New Roman" w:cs="Times New Roman"/>
          <w:sz w:val="32"/>
          <w:szCs w:val="32"/>
        </w:rPr>
        <w:t xml:space="preserve">il grado di </w:t>
      </w:r>
      <w:r>
        <w:rPr>
          <w:rFonts w:ascii="Times New Roman" w:hAnsi="Times New Roman" w:cs="Times New Roman"/>
          <w:sz w:val="32"/>
          <w:szCs w:val="32"/>
        </w:rPr>
        <w:t>deiscenza,</w:t>
      </w:r>
      <w:r w:rsidR="00C4685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la presenza di una </w:t>
      </w:r>
      <w:proofErr w:type="spellStart"/>
      <w:r>
        <w:rPr>
          <w:rFonts w:ascii="Times New Roman" w:hAnsi="Times New Roman" w:cs="Times New Roman"/>
          <w:sz w:val="32"/>
          <w:szCs w:val="32"/>
        </w:rPr>
        <w:t>stomia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derivativa</w:t>
      </w:r>
      <w:r w:rsidR="00CA00AB">
        <w:rPr>
          <w:rFonts w:ascii="Times New Roman" w:hAnsi="Times New Roman" w:cs="Times New Roman"/>
          <w:sz w:val="32"/>
          <w:szCs w:val="32"/>
        </w:rPr>
        <w:t xml:space="preserve"> che la renda gestibile con trattamento conservativo</w:t>
      </w:r>
      <w:r>
        <w:rPr>
          <w:rFonts w:ascii="Times New Roman" w:hAnsi="Times New Roman" w:cs="Times New Roman"/>
          <w:sz w:val="32"/>
          <w:szCs w:val="32"/>
        </w:rPr>
        <w:t xml:space="preserve"> e le condizioni cliniche generali dei pazienti</w:t>
      </w:r>
      <w:r w:rsidR="00CA00AB">
        <w:rPr>
          <w:rFonts w:ascii="Times New Roman" w:hAnsi="Times New Roman" w:cs="Times New Roman"/>
          <w:sz w:val="32"/>
          <w:szCs w:val="32"/>
        </w:rPr>
        <w:t xml:space="preserve"> (dato fondamentale!)</w:t>
      </w:r>
      <w:r>
        <w:rPr>
          <w:rFonts w:ascii="Times New Roman" w:hAnsi="Times New Roman" w:cs="Times New Roman"/>
          <w:sz w:val="32"/>
          <w:szCs w:val="32"/>
        </w:rPr>
        <w:t xml:space="preserve"> influenz</w:t>
      </w:r>
      <w:r w:rsidR="00CA00AB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>no la decisone di re</w:t>
      </w:r>
      <w:r w:rsidR="00C46853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intervento.</w:t>
      </w:r>
      <w:r w:rsidR="00C46853">
        <w:rPr>
          <w:rFonts w:ascii="Times New Roman" w:hAnsi="Times New Roman" w:cs="Times New Roman"/>
          <w:sz w:val="32"/>
          <w:szCs w:val="32"/>
        </w:rPr>
        <w:t xml:space="preserve"> I </w:t>
      </w:r>
      <w:r>
        <w:rPr>
          <w:rFonts w:ascii="Times New Roman" w:hAnsi="Times New Roman" w:cs="Times New Roman"/>
          <w:sz w:val="32"/>
          <w:szCs w:val="32"/>
        </w:rPr>
        <w:t>pazienti con BMI elevato, in terapia cronica con steroidi</w:t>
      </w:r>
      <w:r w:rsidR="00CA00AB">
        <w:rPr>
          <w:rFonts w:ascii="Times New Roman" w:hAnsi="Times New Roman" w:cs="Times New Roman"/>
          <w:sz w:val="32"/>
          <w:szCs w:val="32"/>
        </w:rPr>
        <w:t xml:space="preserve">, ASA score &gt;2 ed </w:t>
      </w:r>
      <w:r>
        <w:rPr>
          <w:rFonts w:ascii="Times New Roman" w:hAnsi="Times New Roman" w:cs="Times New Roman"/>
          <w:sz w:val="32"/>
          <w:szCs w:val="32"/>
        </w:rPr>
        <w:t xml:space="preserve">anziani presentano un rischio aumentato di </w:t>
      </w:r>
      <w:r w:rsidR="00CA00AB">
        <w:rPr>
          <w:rFonts w:ascii="Times New Roman" w:hAnsi="Times New Roman" w:cs="Times New Roman"/>
          <w:sz w:val="32"/>
          <w:szCs w:val="32"/>
        </w:rPr>
        <w:t>re-intervento post “</w:t>
      </w:r>
      <w:proofErr w:type="spellStart"/>
      <w:r w:rsidR="00CA00AB">
        <w:rPr>
          <w:rFonts w:ascii="Times New Roman" w:hAnsi="Times New Roman" w:cs="Times New Roman"/>
          <w:sz w:val="32"/>
          <w:szCs w:val="32"/>
        </w:rPr>
        <w:t>leak</w:t>
      </w:r>
      <w:proofErr w:type="spellEnd"/>
      <w:r w:rsidR="00CA00AB">
        <w:rPr>
          <w:rFonts w:ascii="Times New Roman" w:hAnsi="Times New Roman" w:cs="Times New Roman"/>
          <w:sz w:val="32"/>
          <w:szCs w:val="32"/>
        </w:rPr>
        <w:t>” anastomotico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40DB5" w:rsidRDefault="00072B06" w:rsidP="00403B5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72B06">
        <w:rPr>
          <w:rFonts w:ascii="Times New Roman" w:hAnsi="Times New Roman" w:cs="Times New Roman"/>
          <w:b/>
          <w:sz w:val="32"/>
          <w:szCs w:val="32"/>
        </w:rPr>
        <w:t>LIMITI: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76C19">
        <w:rPr>
          <w:rFonts w:ascii="Times New Roman" w:hAnsi="Times New Roman" w:cs="Times New Roman"/>
          <w:sz w:val="32"/>
          <w:szCs w:val="32"/>
        </w:rPr>
        <w:t>L</w:t>
      </w:r>
      <w:r w:rsidR="00240DB5">
        <w:rPr>
          <w:rFonts w:ascii="Times New Roman" w:hAnsi="Times New Roman" w:cs="Times New Roman"/>
          <w:sz w:val="32"/>
          <w:szCs w:val="32"/>
        </w:rPr>
        <w:t>o studio eseguito è di natura retrospettiva e come</w:t>
      </w:r>
      <w:r w:rsidR="007E6159">
        <w:rPr>
          <w:rFonts w:ascii="Times New Roman" w:hAnsi="Times New Roman" w:cs="Times New Roman"/>
          <w:sz w:val="32"/>
          <w:szCs w:val="32"/>
        </w:rPr>
        <w:t xml:space="preserve"> tale, </w:t>
      </w:r>
      <w:r w:rsidR="00240DB5">
        <w:rPr>
          <w:rFonts w:ascii="Times New Roman" w:hAnsi="Times New Roman" w:cs="Times New Roman"/>
          <w:sz w:val="32"/>
          <w:szCs w:val="32"/>
        </w:rPr>
        <w:t xml:space="preserve">la sua capacità di estrapolare una relazione </w:t>
      </w:r>
      <w:r w:rsidR="007E6159">
        <w:rPr>
          <w:rFonts w:ascii="Times New Roman" w:hAnsi="Times New Roman" w:cs="Times New Roman"/>
          <w:sz w:val="32"/>
          <w:szCs w:val="32"/>
        </w:rPr>
        <w:t>causa-</w:t>
      </w:r>
      <w:r w:rsidR="00240DB5">
        <w:rPr>
          <w:rFonts w:ascii="Times New Roman" w:hAnsi="Times New Roman" w:cs="Times New Roman"/>
          <w:sz w:val="32"/>
          <w:szCs w:val="32"/>
        </w:rPr>
        <w:t>effetto dai dati analizzati è limitata.</w:t>
      </w:r>
    </w:p>
    <w:p w:rsidR="00072B06" w:rsidRDefault="00240DB5" w:rsidP="00403B5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0DB5">
        <w:rPr>
          <w:rFonts w:ascii="Times New Roman" w:hAnsi="Times New Roman" w:cs="Times New Roman"/>
          <w:b/>
          <w:sz w:val="32"/>
          <w:szCs w:val="32"/>
        </w:rPr>
        <w:t>VALUTAZIONE PERSONALE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576C19">
        <w:rPr>
          <w:rFonts w:ascii="Times New Roman" w:hAnsi="Times New Roman" w:cs="Times New Roman"/>
          <w:sz w:val="32"/>
          <w:szCs w:val="32"/>
        </w:rPr>
        <w:t>N</w:t>
      </w:r>
      <w:r w:rsidR="00403B54">
        <w:rPr>
          <w:rFonts w:ascii="Times New Roman" w:hAnsi="Times New Roman" w:cs="Times New Roman"/>
          <w:sz w:val="32"/>
          <w:szCs w:val="32"/>
        </w:rPr>
        <w:t xml:space="preserve">onostante </w:t>
      </w:r>
      <w:r w:rsidR="00072B06">
        <w:rPr>
          <w:rFonts w:ascii="Times New Roman" w:hAnsi="Times New Roman" w:cs="Times New Roman"/>
          <w:sz w:val="32"/>
          <w:szCs w:val="32"/>
        </w:rPr>
        <w:t xml:space="preserve">il campione preso in considerazione sia estremamente </w:t>
      </w:r>
      <w:r w:rsidR="00CA00AB">
        <w:rPr>
          <w:rFonts w:ascii="Times New Roman" w:hAnsi="Times New Roman" w:cs="Times New Roman"/>
          <w:sz w:val="32"/>
          <w:szCs w:val="32"/>
        </w:rPr>
        <w:t>numeroso</w:t>
      </w:r>
      <w:r>
        <w:rPr>
          <w:rFonts w:ascii="Times New Roman" w:hAnsi="Times New Roman" w:cs="Times New Roman"/>
          <w:sz w:val="32"/>
          <w:szCs w:val="32"/>
        </w:rPr>
        <w:t>,</w:t>
      </w:r>
      <w:r w:rsidR="00072B0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le patologie di base che hanno portato all’intervento chirurgico sono eterogenee e questo potrebbe influenzare i risultati sulla reale percentuale di deiscenza anastomotica. </w:t>
      </w:r>
      <w:r w:rsidR="007E6159">
        <w:rPr>
          <w:rFonts w:ascii="Times New Roman" w:hAnsi="Times New Roman" w:cs="Times New Roman"/>
          <w:sz w:val="32"/>
          <w:szCs w:val="32"/>
        </w:rPr>
        <w:t>Per tale motivo s</w:t>
      </w:r>
      <w:r>
        <w:rPr>
          <w:rFonts w:ascii="Times New Roman" w:hAnsi="Times New Roman" w:cs="Times New Roman"/>
          <w:sz w:val="32"/>
          <w:szCs w:val="32"/>
        </w:rPr>
        <w:t>arebbe più indicato</w:t>
      </w:r>
      <w:r w:rsidR="00403B5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al fine di limitare eventuale </w:t>
      </w:r>
      <w:proofErr w:type="spellStart"/>
      <w:r>
        <w:rPr>
          <w:rFonts w:ascii="Times New Roman" w:hAnsi="Times New Roman" w:cs="Times New Roman"/>
          <w:sz w:val="32"/>
          <w:szCs w:val="32"/>
        </w:rPr>
        <w:t>bias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di selezione</w:t>
      </w:r>
      <w:r w:rsidR="00403B5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suddividere il campione oltre che per tipologia di anastomosi anche per differente patologia di base</w:t>
      </w:r>
      <w:r w:rsidR="00403B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(tumore, IBD, </w:t>
      </w:r>
      <w:r w:rsidR="007E6159">
        <w:rPr>
          <w:rFonts w:ascii="Times New Roman" w:hAnsi="Times New Roman" w:cs="Times New Roman"/>
          <w:sz w:val="32"/>
          <w:szCs w:val="32"/>
        </w:rPr>
        <w:t>divertic</w:t>
      </w:r>
      <w:r>
        <w:rPr>
          <w:rFonts w:ascii="Times New Roman" w:hAnsi="Times New Roman" w:cs="Times New Roman"/>
          <w:sz w:val="32"/>
          <w:szCs w:val="32"/>
        </w:rPr>
        <w:t>olite).</w:t>
      </w:r>
    </w:p>
    <w:p w:rsidR="002B5A8F" w:rsidRDefault="007D24F8" w:rsidP="002B5A8F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Gianmaria Casoni </w:t>
      </w:r>
      <w:proofErr w:type="spellStart"/>
      <w:r>
        <w:rPr>
          <w:rFonts w:ascii="Times New Roman" w:hAnsi="Times New Roman" w:cs="Times New Roman"/>
          <w:sz w:val="32"/>
          <w:szCs w:val="32"/>
        </w:rPr>
        <w:t>Pattacini</w:t>
      </w:r>
      <w:bookmarkStart w:id="0" w:name="_GoBack"/>
      <w:bookmarkEnd w:id="0"/>
      <w:proofErr w:type="spellEnd"/>
    </w:p>
    <w:p w:rsidR="007D24F8" w:rsidRDefault="007D24F8" w:rsidP="007D24F8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hyperlink r:id="rId6" w:history="1">
        <w:r w:rsidRPr="004D7538">
          <w:rPr>
            <w:rStyle w:val="Collegamentoipertestuale"/>
            <w:rFonts w:ascii="Times New Roman" w:hAnsi="Times New Roman" w:cs="Times New Roman"/>
            <w:sz w:val="32"/>
            <w:szCs w:val="32"/>
          </w:rPr>
          <w:t>gianmaria.casonipattacini@gmail.com</w:t>
        </w:r>
      </w:hyperlink>
    </w:p>
    <w:p w:rsidR="007D24F8" w:rsidRDefault="002B5A8F" w:rsidP="007D24F8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U.O Chirurgia G</w:t>
      </w:r>
      <w:r w:rsidR="007D24F8">
        <w:rPr>
          <w:rFonts w:ascii="Times New Roman" w:hAnsi="Times New Roman" w:cs="Times New Roman"/>
          <w:sz w:val="32"/>
          <w:szCs w:val="32"/>
        </w:rPr>
        <w:t>enerale ad Indirizzo Oncologico</w:t>
      </w:r>
    </w:p>
    <w:p w:rsidR="007D24F8" w:rsidRDefault="007D24F8" w:rsidP="007D24F8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IRCCS SAN MARTINO Genova</w:t>
      </w:r>
    </w:p>
    <w:p w:rsidR="007D24F8" w:rsidRPr="00072B06" w:rsidRDefault="007D24F8" w:rsidP="007D24F8">
      <w:pPr>
        <w:spacing w:line="360" w:lineRule="auto"/>
        <w:jc w:val="right"/>
        <w:rPr>
          <w:sz w:val="32"/>
          <w:szCs w:val="32"/>
        </w:rPr>
      </w:pPr>
    </w:p>
    <w:sectPr w:rsidR="007D24F8" w:rsidRPr="00072B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SA05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7A"/>
    <w:rsid w:val="00072B06"/>
    <w:rsid w:val="001E0DD6"/>
    <w:rsid w:val="00240DB5"/>
    <w:rsid w:val="002B5A8F"/>
    <w:rsid w:val="003416D2"/>
    <w:rsid w:val="00403B54"/>
    <w:rsid w:val="00576C19"/>
    <w:rsid w:val="006253C6"/>
    <w:rsid w:val="007C247A"/>
    <w:rsid w:val="007D24F8"/>
    <w:rsid w:val="007E6159"/>
    <w:rsid w:val="007F69FE"/>
    <w:rsid w:val="00874676"/>
    <w:rsid w:val="009618B2"/>
    <w:rsid w:val="00A4797E"/>
    <w:rsid w:val="00BD4CF9"/>
    <w:rsid w:val="00C46853"/>
    <w:rsid w:val="00CA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97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D24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97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D2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ianmaria.casonipattacin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Scabini</dc:creator>
  <cp:lastModifiedBy>Stefano Scabini</cp:lastModifiedBy>
  <cp:revision>2</cp:revision>
  <dcterms:created xsi:type="dcterms:W3CDTF">2016-06-08T13:13:00Z</dcterms:created>
  <dcterms:modified xsi:type="dcterms:W3CDTF">2016-06-08T13:13:00Z</dcterms:modified>
</cp:coreProperties>
</file>